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A8862A">
    <v:background id="_x0000_s1025" o:bwmode="white" fillcolor="#A8862A">
      <v:fill type="gradient" angle="90" color2="#F2E7CE"/>
    </v:background>
  </w:background>
  <w:body>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pPr>
              <w:spacing w:after="350"/>
            </w:pPr>
            <w:r>
              <w:rPr>
                <w:rFonts w:ascii="Playfair Display" w:cs="Playfair Display" w:eastAsia="Playfair Display" w:hAnsi="Playfair Display"/>
                <w:b/>
                <w:bCs/>
                <w:color w:val="A8862A"/>
                <w:sz w:val="36"/>
                <w:szCs w:val="36"/>
              </w:rPr>
              <w:t xml:space="preserve">Wijk ik nog af van wat ik allang weet?</w:t>
            </w:r>
          </w:p>
          <w:p>
            <w:pPr>
              <w:spacing w:after="300"/>
            </w:pPr>
            <w:r>
              <w:rPr>
                <w:rFonts w:ascii="Playfair Display" w:cs="Playfair Display" w:eastAsia="Playfair Display" w:hAnsi="Playfair Display"/>
                <w:i/>
                <w:iCs/>
                <w:color w:val="2B2B2B"/>
                <w:sz w:val="24"/>
                <w:szCs w:val="24"/>
              </w:rPr>
              <w:t xml:space="preserve">Een test voor hoogsensitieve vrouwen met een stevige positie, die niet meer op zoek zijn naar inzicht, maar naar leiderschap van binnenuit</w:t>
            </w:r>
          </w:p>
          <w:p>
            <w:pPr>
              <w:spacing w:after="150" w:line="264" w:lineRule="auto"/>
            </w:pPr>
            <w:r>
              <w:rPr>
                <w:rFonts w:ascii="Calibri" w:cs="Calibri" w:eastAsia="Calibri" w:hAnsi="Calibri"/>
                <w:color w:val="2B2B2B"/>
                <w:sz w:val="22"/>
                <w:szCs w:val="22"/>
              </w:rPr>
              <w:t xml:space="preserve">Deze test geeft geen oordeel. Ze geeft inzicht. Op twaalf stellingen scoor je hoe herkenbaar iets voor je is op dit moment. Aan het eind zie je waar je nu staat en wat een logische volgende stap kan zijn.</w:t>
            </w:r>
          </w:p>
          <w:p>
            <w:pPr>
              <w:spacing w:after="60" w:before="120"/>
            </w:pPr>
            <w:r>
              <w:rPr>
                <w:rFonts w:ascii="Playfair Display" w:cs="Playfair Display" w:eastAsia="Playfair Display" w:hAnsi="Playfair Display"/>
                <w:b/>
                <w:bCs/>
                <w:color w:val="A8862A"/>
                <w:sz w:val="24"/>
                <w:szCs w:val="24"/>
              </w:rPr>
              <w:t xml:space="preserve">Hoe werkt het</w:t>
            </w:r>
          </w:p>
          <w:p>
            <w:pPr>
              <w:spacing w:after="150" w:line="264" w:lineRule="auto"/>
            </w:pPr>
            <w:r>
              <w:rPr>
                <w:rFonts w:ascii="Calibri" w:cs="Calibri" w:eastAsia="Calibri" w:hAnsi="Calibri"/>
                <w:color w:val="2B2B2B"/>
                <w:sz w:val="22"/>
                <w:szCs w:val="22"/>
              </w:rPr>
              <w:t xml:space="preserve">Geef bij elke stelling een score van 0 tot 3.</w:t>
            </w:r>
          </w:p>
          <w:p>
            <w:pPr>
              <w:spacing w:after="150" w:line="264" w:lineRule="auto"/>
            </w:pPr>
            <w:r>
              <w:rPr>
                <w:rFonts w:ascii="Calibri" w:cs="Calibri" w:eastAsia="Calibri" w:hAnsi="Calibri"/>
                <w:b/>
                <w:bCs/>
                <w:color w:val="2B2B2B"/>
                <w:sz w:val="22"/>
                <w:szCs w:val="22"/>
              </w:rPr>
              <w:t xml:space="preserve">0 = zelden of nooit     1 = soms     2 = vaak     3 = bijna altijd</w:t>
            </w:r>
          </w:p>
          <w:p>
            <w:pPr>
              <w:spacing w:after="60" w:before="120"/>
            </w:pPr>
            <w:r>
              <w:rPr>
                <w:rFonts w:ascii="Playfair Display" w:cs="Playfair Display" w:eastAsia="Playfair Display" w:hAnsi="Playfair Display"/>
                <w:b/>
                <w:bCs/>
                <w:color w:val="A8862A"/>
                <w:sz w:val="24"/>
                <w:szCs w:val="24"/>
              </w:rPr>
              <w:t xml:space="preserve">1. Afstemmen en aanpassen</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  Ik pas mijn woorden achteraf nog aan, ook als ik eerst voelde dat het klopte.</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2.  Ik leg mezelf nog een extra keer uit, ook als het al duidelijk was.</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3.  Ik houd rekening met hoe de ander het zal ontvangen, voordat ik iets zeg.</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p>
            <w:pPr>
              <w:spacing w:after="60" w:before="120"/>
            </w:pPr>
            <w:r>
              <w:rPr>
                <w:rFonts w:ascii="Playfair Display" w:cs="Playfair Display" w:eastAsia="Playfair Display" w:hAnsi="Playfair Display"/>
                <w:b/>
                <w:bCs/>
                <w:color w:val="A8862A"/>
                <w:sz w:val="24"/>
                <w:szCs w:val="24"/>
              </w:rPr>
              <w:t xml:space="preserve">2. Verantwoordelijkheid en ruimte</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4.  Ik neem verantwoordelijkheid die eigenlijk niet van mij is.</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5.  Ik maak mezelf kleiner om de ander ruimte te geven.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6.  Ik bewaak de sfeer, ook als dat mij iets kost.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p>
            <w:pPr>
              <w:spacing w:after="60" w:before="120"/>
            </w:pPr>
            <w:r>
              <w:rPr>
                <w:rFonts w:ascii="Playfair Display" w:cs="Playfair Display" w:eastAsia="Playfair Display" w:hAnsi="Playfair Display"/>
                <w:b/>
                <w:bCs/>
                <w:color w:val="A8862A"/>
                <w:sz w:val="24"/>
                <w:szCs w:val="24"/>
              </w:rPr>
              <w:t xml:space="preserve">3. Stevigheid onder druk</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7.  Mijn professionele oordeel verandert zodra iemand anders er iets van vindt.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8.  Ik ga twijfelen zodra er spanning ontstaat, ook als ik weet wat klopt.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9.  Ik blijf niet altijd stevig staan op de momenten waarop het ertoe doet.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p>
            <w:pPr>
              <w:spacing w:after="60" w:before="120"/>
            </w:pPr>
            <w:r>
              <w:rPr>
                <w:rFonts w:ascii="Playfair Display" w:cs="Playfair Display" w:eastAsia="Playfair Display" w:hAnsi="Playfair Display"/>
                <w:b/>
                <w:bCs/>
                <w:color w:val="A8862A"/>
                <w:sz w:val="24"/>
                <w:szCs w:val="24"/>
              </w:rPr>
              <w:t xml:space="preserve">4. Herkenning</w:t>
            </w:r>
          </w:p>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10.  Ik weet vaak al precies wat klopt, maar handel er niet altijd naar.</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11.  Ik zou willen werken vanuit wat ik al weet, zonder daar steeds van af te wijken.</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bl>
            <w:tblPr>
              <w:tblW w:type="dxa" w:w="9350"/>
              <w:tblBorders>
                <w:top w:val="none"/>
                <w:left w:val="none"/>
                <w:bottom w:val="single" w:color="D9D9D9" w:sz="4"/>
                <w:right w:val="none"/>
                <w:insideH w:val="none"/>
                <w:insideV w:val="none"/>
              </w:tblBorders>
            </w:tblPr>
            <w:tblGrid>
              <w:gridCol w:w="7350"/>
              <w:gridCol w:w="2000"/>
            </w:tblGrid>
            <w:tr>
              <w:tc>
                <w:tcPr>
                  <w:tcW w:type="dxa" w:w="7350"/>
                  <w:shd w:fill="E8DFD4" w:val="clear"/>
                  <w:tcMar>
                    <w:top w:type="dxa" w:w="100"/>
                    <w:left w:type="dxa" w:w="0"/>
                    <w:bottom w:type="dxa" w:w="100"/>
                    <w:right w:type="dxa" w:w="100"/>
                  </w:tcMar>
                </w:tcPr>
                <w:p>
                  <w:r>
                    <w:rPr>
                      <w:rFonts w:ascii="Calibri" w:cs="Calibri" w:eastAsia="Calibri" w:hAnsi="Calibri"/>
                      <w:color w:val="2B2B2B"/>
                      <w:sz w:val="22"/>
                      <w:szCs w:val="22"/>
                    </w:rPr>
                    <w:t xml:space="preserve">12.  Ik ben toe aan een manier van werken die niet telkens iets van mezelf kost.</w:t>
                  </w:r>
                </w:p>
              </w:tc>
              <w:tc>
                <w:tcPr>
                  <w:tcW w:type="dxa" w:w="2000"/>
                  <w:shd w:fill="E8DFD4" w:val="clear"/>
                  <w:tcMar>
                    <w:top w:type="dxa" w:w="100"/>
                    <w:left w:type="dxa" w:w="100"/>
                    <w:bottom w:type="dxa" w:w="100"/>
                    <w:right w:type="dxa" w:w="0"/>
                  </w:tcMar>
                </w:tcPr>
                <w:p>
                  <w:pPr>
                    <w:jc w:val="center"/>
                  </w:pPr>
                  <w:r>
                    <w:rPr>
                      <w:rFonts w:ascii="Playfair Display" w:cs="Playfair Display" w:eastAsia="Playfair Display" w:hAnsi="Playfair Display"/>
                      <w:color w:val="A8862A"/>
                      <w:sz w:val="22"/>
                      <w:szCs w:val="22"/>
                    </w:rPr>
                    <w:t xml:space="preserve">____</w:t>
                  </w:r>
                </w:p>
              </w:tc>
            </w:tr>
          </w:tbl>
        </w:tc>
      </w:tr>
    </w:tbl>
    <w:p>
      <w:pPr>
        <w:spacing w:after="0"/>
      </w:pPr>
    </w:p>
    <w:p>
      <w:pPr>
        <w:sectPr>
          <w:footerReference w:type="default" r:id="rId7"/>
          <w:pgSz w:w="11906" w:h="16838" w:orient="portrait"/>
          <w:pgMar w:top="1000" w:right="1100" w:bottom="1000" w:left="1100" w:header="708" w:footer="708" w:gutter="0"/>
          <w:pgNumType/>
          <w:docGrid w:linePitch="360"/>
        </w:sectPr>
      </w:pPr>
    </w:p>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pPr>
              <w:spacing w:after="60" w:before="120"/>
            </w:pPr>
            <w:r>
              <w:rPr>
                <w:rFonts w:ascii="Playfair Display" w:cs="Playfair Display" w:eastAsia="Playfair Display" w:hAnsi="Playfair Display"/>
                <w:b/>
                <w:bCs/>
                <w:color w:val="A8862A"/>
                <w:sz w:val="24"/>
                <w:szCs w:val="24"/>
              </w:rPr>
              <w:t xml:space="preserve">Jouw score</w:t>
            </w:r>
          </w:p>
          <w:p>
            <w:pPr>
              <w:spacing w:after="150" w:line="264" w:lineRule="auto"/>
            </w:pPr>
            <w:r>
              <w:rPr>
                <w:rFonts w:ascii="Calibri" w:cs="Calibri" w:eastAsia="Calibri" w:hAnsi="Calibri"/>
                <w:color w:val="2B2B2B"/>
                <w:sz w:val="22"/>
                <w:szCs w:val="22"/>
              </w:rPr>
              <w:t xml:space="preserve">Tel de twaalf scores bij elkaar op. Totaal: ____ van de 36 punten.</w:t>
            </w:r>
          </w:p>
          <w:p>
            <w:pPr>
              <w:pBdr>
                <w:bottom w:val="single" w:color="A8862A" w:sz="6" w:space="1"/>
              </w:pBdr>
              <w:spacing w:after="200"/>
            </w:pPr>
            <w:r>
              <w:rPr>
                <w:sz w:val="2"/>
                <w:szCs w:val="2"/>
              </w:rPr>
              <w:t xml:space="preserve"/>
            </w:r>
          </w:p>
          <w:p>
            <w:pPr>
              <w:spacing w:after="150" w:line="264" w:lineRule="auto"/>
            </w:pPr>
            <w:r>
              <w:rPr>
                <w:rFonts w:ascii="Calibri" w:cs="Calibri" w:eastAsia="Calibri" w:hAnsi="Calibri"/>
                <w:b/>
                <w:bCs/>
                <w:color w:val="2B2B2B"/>
                <w:sz w:val="22"/>
                <w:szCs w:val="22"/>
              </w:rPr>
              <w:t xml:space="preserve">0 tot 11 punten</w:t>
            </w:r>
          </w:p>
          <w:p>
            <w:pPr>
              <w:spacing w:after="150" w:line="264" w:lineRule="auto"/>
            </w:pPr>
            <w:r>
              <w:rPr>
                <w:rFonts w:ascii="Calibri" w:cs="Calibri" w:eastAsia="Calibri" w:hAnsi="Calibri"/>
                <w:color w:val="2B2B2B"/>
                <w:sz w:val="22"/>
                <w:szCs w:val="22"/>
              </w:rPr>
              <w:t xml:space="preserve">Het voelt nu nog behapbaar. Blijf wel aandacht houden voor wat er onder de oppervlakte speelt, zodat het niet geleidelijk groter wordt.</w:t>
            </w:r>
          </w:p>
          <w:p>
            <w:pPr>
              <w:spacing w:after="150" w:line="264" w:lineRule="auto"/>
            </w:pPr>
            <w:r>
              <w:rPr>
                <w:rFonts w:ascii="Calibri" w:cs="Calibri" w:eastAsia="Calibri" w:hAnsi="Calibri"/>
                <w:b/>
                <w:bCs/>
                <w:color w:val="2B2B2B"/>
                <w:sz w:val="22"/>
                <w:szCs w:val="22"/>
              </w:rPr>
              <w:t xml:space="preserve">12 tot 23 punten</w:t>
            </w:r>
          </w:p>
          <w:p>
            <w:pPr>
              <w:spacing w:after="150" w:line="264" w:lineRule="auto"/>
            </w:pPr>
            <w:r>
              <w:rPr>
                <w:rFonts w:ascii="Calibri" w:cs="Calibri" w:eastAsia="Calibri" w:hAnsi="Calibri"/>
                <w:color w:val="2B2B2B"/>
                <w:sz w:val="22"/>
                <w:szCs w:val="22"/>
              </w:rPr>
              <w:t xml:space="preserve">Er wringt iets. Dit is een goed moment om stil te staan bij wat je nodig hebt, voordat het verder gaat slijten.</w:t>
            </w:r>
          </w:p>
          <w:p>
            <w:pPr>
              <w:spacing w:after="150" w:line="264" w:lineRule="auto"/>
            </w:pPr>
            <w:r>
              <w:rPr>
                <w:rFonts w:ascii="Calibri" w:cs="Calibri" w:eastAsia="Calibri" w:hAnsi="Calibri"/>
                <w:b/>
                <w:bCs/>
                <w:color w:val="2B2B2B"/>
                <w:sz w:val="22"/>
                <w:szCs w:val="22"/>
              </w:rPr>
              <w:t xml:space="preserve">24 tot 36 punten</w:t>
            </w:r>
          </w:p>
          <w:p>
            <w:pPr>
              <w:spacing w:after="150" w:line="264" w:lineRule="auto"/>
            </w:pPr>
            <w:r>
              <w:rPr>
                <w:rFonts w:ascii="Calibri" w:cs="Calibri" w:eastAsia="Calibri" w:hAnsi="Calibri"/>
                <w:color w:val="2B2B2B"/>
                <w:sz w:val="22"/>
                <w:szCs w:val="22"/>
              </w:rPr>
              <w:t xml:space="preserve">Dit signaal is duidelijk. Je weet vaak al wat klopt, maar je wijkt er op de momenten waarop het ertoe doet nog van af. Een gesprek kan je helpen dat patroon scherp te zien.</w:t>
            </w:r>
          </w:p>
          <w:p>
            <w:pPr>
              <w:spacing w:after="60" w:before="120"/>
            </w:pPr>
            <w:r>
              <w:rPr>
                <w:rFonts w:ascii="Playfair Display" w:cs="Playfair Display" w:eastAsia="Playfair Display" w:hAnsi="Playfair Display"/>
                <w:b/>
                <w:bCs/>
                <w:color w:val="A8862A"/>
                <w:sz w:val="24"/>
                <w:szCs w:val="24"/>
              </w:rPr>
              <w:t xml:space="preserve">Voor jezelf, om verder op te reflecteren</w:t>
            </w:r>
          </w:p>
          <w:p>
            <w:pPr>
              <w:spacing w:after="100" w:before="150"/>
            </w:pPr>
            <w:r>
              <w:rPr>
                <w:rFonts w:ascii="Calibri" w:cs="Calibri" w:eastAsia="Calibri" w:hAnsi="Calibri"/>
                <w:b/>
                <w:bCs/>
                <w:color w:val="2B2B2B"/>
                <w:sz w:val="22"/>
                <w:szCs w:val="22"/>
              </w:rPr>
              <w:t xml:space="preserve">Op welk moment merk ik het meest dat ik toch nog afstem, terwijl ik al voelde wat klopte?</w:t>
            </w:r>
          </w:p>
          <w:p>
            <w:pPr>
              <w:pBdr>
                <w:bottom w:val="single" w:color="D9D9D9" w:sz="4" w:space="1"/>
              </w:pBdr>
              <w:spacing w:after="100"/>
            </w:pPr>
            <w:r>
              <w:rPr>
                <w:sz w:val="2"/>
                <w:szCs w:val="2"/>
              </w:rPr>
              <w:t xml:space="preserve"/>
            </w:r>
          </w:p>
          <w:p>
            <w:pPr>
              <w:pBdr>
                <w:bottom w:val="single" w:color="D9D9D9" w:sz="4" w:space="1"/>
              </w:pBdr>
              <w:spacing w:after="250"/>
            </w:pPr>
            <w:r>
              <w:rPr>
                <w:sz w:val="2"/>
                <w:szCs w:val="2"/>
              </w:rPr>
              <w:t xml:space="preserve"/>
            </w:r>
          </w:p>
          <w:p>
            <w:pPr>
              <w:spacing w:after="100" w:before="150"/>
            </w:pPr>
            <w:r>
              <w:rPr>
                <w:rFonts w:ascii="Calibri" w:cs="Calibri" w:eastAsia="Calibri" w:hAnsi="Calibri"/>
                <w:b/>
                <w:bCs/>
                <w:color w:val="2B2B2B"/>
                <w:sz w:val="22"/>
                <w:szCs w:val="22"/>
              </w:rPr>
              <w:t xml:space="preserve">Wat zou er veranderen als mijn professionele oordeel niet meer meebewoog met de reactie van de ander?</w:t>
            </w:r>
          </w:p>
          <w:p>
            <w:pPr>
              <w:pBdr>
                <w:bottom w:val="single" w:color="D9D9D9" w:sz="4" w:space="1"/>
              </w:pBdr>
              <w:spacing w:after="100"/>
            </w:pPr>
            <w:r>
              <w:rPr>
                <w:sz w:val="2"/>
                <w:szCs w:val="2"/>
              </w:rPr>
              <w:t xml:space="preserve"/>
            </w:r>
          </w:p>
          <w:p>
            <w:pPr>
              <w:pBdr>
                <w:bottom w:val="single" w:color="D9D9D9" w:sz="4" w:space="1"/>
              </w:pBdr>
              <w:spacing w:after="250"/>
            </w:pPr>
            <w:r>
              <w:rPr>
                <w:sz w:val="2"/>
                <w:szCs w:val="2"/>
              </w:rPr>
              <w:t xml:space="preserve"/>
            </w:r>
          </w:p>
          <w:p>
            <w:pPr>
              <w:spacing w:after="100" w:before="150"/>
            </w:pPr>
            <w:r>
              <w:rPr>
                <w:rFonts w:ascii="Calibri" w:cs="Calibri" w:eastAsia="Calibri" w:hAnsi="Calibri"/>
                <w:b/>
                <w:bCs/>
                <w:color w:val="2B2B2B"/>
                <w:sz w:val="22"/>
                <w:szCs w:val="22"/>
              </w:rPr>
              <w:t xml:space="preserve">Wat heb ik nodig om steeds vaker te blijven staan waar ik eigenlijk al wil staan?</w:t>
            </w:r>
          </w:p>
          <w:p>
            <w:pPr>
              <w:pBdr>
                <w:bottom w:val="single" w:color="D9D9D9" w:sz="4" w:space="1"/>
              </w:pBdr>
              <w:spacing w:after="100"/>
            </w:pPr>
            <w:r>
              <w:rPr>
                <w:sz w:val="2"/>
                <w:szCs w:val="2"/>
              </w:rPr>
              <w:t xml:space="preserve"/>
            </w:r>
          </w:p>
          <w:p>
            <w:pPr>
              <w:pBdr>
                <w:bottom w:val="single" w:color="D9D9D9" w:sz="4" w:space="1"/>
              </w:pBdr>
              <w:spacing w:after="250"/>
            </w:pPr>
            <w:r>
              <w:rPr>
                <w:sz w:val="2"/>
                <w:szCs w:val="2"/>
              </w:rPr>
              <w:t xml:space="preserve"/>
            </w:r>
          </w:p>
        </w:tc>
      </w:tr>
    </w:tbl>
    <w:p>
      <w:pPr>
        <w:spacing w:after="0"/>
      </w:pPr>
    </w:p>
    <w:p>
      <w:pPr>
        <w:sectPr>
          <w:footerReference w:type="default" r:id="rId8"/>
          <w:pgSz w:w="11906" w:h="16838" w:orient="portrait"/>
          <w:pgMar w:top="1000" w:right="1100" w:bottom="1000" w:left="1100" w:header="708" w:footer="708" w:gutter="0"/>
          <w:pgNumType/>
          <w:docGrid w:linePitch="360"/>
        </w:sectPr>
      </w:pPr>
    </w:p>
    <w:tbl>
      <w:tblPr>
        <w:tblW w:w="97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00" w:type="dxa"/>
          <w:left w:w="300" w:type="dxa"/>
          <w:bottom w:w="200" w:type="dxa"/>
          <w:right w:w="300" w:type="dxa"/>
        </w:tblCellMar>
        <w:tblLook w:val="04A0"/>
      </w:tblPr>
      <w:tblGrid>
        <w:gridCol w:w="9706"/>
      </w:tblGrid>
      <w:tr>
        <w:tc>
          <w:tcPr>
            <w:tcW w:w="9706" w:type="dxa"/>
            <w:shd w:val="clear" w:color="auto" w:fill="FBF6EC"/>
          </w:tcPr>
          <w:p>
            <w:pPr>
              <w:spacing w:after="60" w:before="120"/>
            </w:pPr>
            <w:r>
              <w:rPr>
                <w:rFonts w:ascii="Playfair Display" w:cs="Playfair Display" w:eastAsia="Playfair Display" w:hAnsi="Playfair Display"/>
                <w:b/>
                <w:bCs/>
                <w:color w:val="A8862A"/>
                <w:sz w:val="24"/>
                <w:szCs w:val="24"/>
              </w:rPr>
              <w:t xml:space="preserve">Een volgende stap</w:t>
            </w:r>
          </w:p>
          <w:p>
            <w:pPr>
              <w:spacing w:after="150" w:line="264" w:lineRule="auto"/>
            </w:pPr>
            <w:r>
              <w:rPr>
                <w:rFonts w:ascii="Calibri" w:cs="Calibri" w:eastAsia="Calibri" w:hAnsi="Calibri"/>
                <w:color w:val="2B2B2B"/>
                <w:sz w:val="22"/>
                <w:szCs w:val="22"/>
              </w:rPr>
              <w:t xml:space="preserve">Herkende je jezelf in de uitkomst?</w:t>
            </w:r>
          </w:p>
          <w:p>
            <w:pPr>
              <w:spacing w:after="150" w:line="264" w:lineRule="auto"/>
            </w:pPr>
            <w:r>
              <w:rPr>
                <w:rFonts w:ascii="Calibri" w:cs="Calibri" w:eastAsia="Calibri" w:hAnsi="Calibri"/>
                <w:color w:val="2B2B2B"/>
                <w:sz w:val="22"/>
                <w:szCs w:val="22"/>
              </w:rPr>
              <w:t xml:space="preserve">Misschien bevestigde de reflectie wat je al langer voelde: je weet vaak al wat klopt, en toch wijk je er op het moment zelf nog van af.</w:t>
            </w:r>
          </w:p>
          <w:p>
            <w:pPr>
              <w:spacing w:after="150" w:line="264" w:lineRule="auto"/>
            </w:pPr>
            <w:r>
              <w:rPr>
                <w:rFonts w:ascii="Calibri" w:cs="Calibri" w:eastAsia="Calibri" w:hAnsi="Calibri"/>
                <w:color w:val="2B2B2B"/>
                <w:sz w:val="22"/>
                <w:szCs w:val="22"/>
              </w:rPr>
              <w:t xml:space="preserve"/>
            </w:r>
          </w:p>
          <w:p>
            <w:pPr>
              <w:spacing w:after="150" w:line="264" w:lineRule="auto"/>
            </w:pPr>
            <w:r>
              <w:rPr>
                <w:rFonts w:ascii="Calibri" w:cs="Calibri" w:eastAsia="Calibri" w:hAnsi="Calibri"/>
                <w:color w:val="2B2B2B"/>
                <w:sz w:val="22"/>
                <w:szCs w:val="22"/>
              </w:rPr>
              <w:t xml:space="preserve">Niet omdat je iets niet weet, maar omdat je op momenten van spanning nog beweegt waar je eigenlijk wilt blijven staan.</w:t>
            </w:r>
          </w:p>
          <w:p>
            <w:pPr>
              <w:spacing w:after="150" w:line="264" w:lineRule="auto"/>
            </w:pPr>
            <w:r>
              <w:rPr>
                <w:rFonts w:ascii="Calibri" w:cs="Calibri" w:eastAsia="Calibri" w:hAnsi="Calibri"/>
                <w:color w:val="2B2B2B"/>
                <w:sz w:val="22"/>
                <w:szCs w:val="22"/>
              </w:rPr>
              <w:t xml:space="preserve">Leiderschap van Binnenuit® begint met de sessie “Ik neem mijn plek in”: het moment waarop zichtbaar wordt waar jij jezelf nog verlaat.</w:t>
            </w:r>
          </w:p>
          <w:p>
            <w:pPr>
              <w:spacing w:after="150" w:line="264" w:lineRule="auto"/>
            </w:pPr>
            <w:r>
              <w:rPr>
                <w:rFonts w:ascii="Calibri" w:cs="Calibri" w:eastAsia="Calibri" w:hAnsi="Calibri"/>
                <w:b/>
                <w:bCs/>
                <w:color w:val="2B2B2B"/>
                <w:sz w:val="22"/>
                <w:szCs w:val="22"/>
              </w:rPr>
              <w:t xml:space="preserve">Investering startsessie: €195.</w:t>
            </w:r>
          </w:p>
          <w:p>
            <w:pPr>
              <w:spacing w:after="150" w:line="264" w:lineRule="auto"/>
            </w:pPr>
            <w:r>
              <w:rPr>
                <w:rFonts w:ascii="Calibri" w:cs="Calibri" w:eastAsia="Calibri" w:hAnsi="Calibri"/>
                <w:color w:val="2B2B2B"/>
                <w:sz w:val="22"/>
                <w:szCs w:val="22"/>
              </w:rPr>
              <w:t xml:space="preserve">Besluit je daarna verder te werken in het mentorschap, dan wordt dit bedrag verrekend.</w:t>
            </w:r>
          </w:p>
          <w:p>
            <w:pPr>
              <w:spacing w:after="150" w:line="264" w:lineRule="auto"/>
            </w:pPr>
            <w:r>
              <w:rPr>
                <w:rFonts w:ascii="Calibri" w:cs="Calibri" w:eastAsia="Calibri" w:hAnsi="Calibri"/>
                <w:b/>
                <w:bCs/>
                <w:color w:val="2B2B2B"/>
                <w:sz w:val="22"/>
                <w:szCs w:val="22"/>
              </w:rPr>
              <w:t xml:space="preserve">Adriana Visser, Senior coach</w:t>
            </w:r>
          </w:p>
        </w:tc>
      </w:tr>
    </w:tbl>
    <w:p>
      <w:pPr>
        <w:spacing w:after="0"/>
      </w:pPr>
    </w:p>
    <w:sectPr>
      <w:footerReference w:type="default" r:id="rId9"/>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50"/>
      </w:tabs>
    </w:pPr>
    <w:r>
      <w:rPr>
        <w:rFonts w:ascii="Calibri" w:cs="Calibri" w:eastAsia="Calibri" w:hAnsi="Calibri"/>
        <w:color w:val="2B2B2B"/>
        <w:sz w:val="16"/>
        <w:szCs w:val="16"/>
      </w:rPr>
      <w:t xml:space="preserve">Adriana Visser — senior coach hoogsensitieve vrouwen	</w:t>
    </w:r>
    <w:r>
      <w:rPr>
        <w:rFonts w:ascii="Calibri" w:cs="Calibri" w:eastAsia="Calibri" w:hAnsi="Calibri"/>
        <w:color w:val="2B2B2B"/>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50"/>
      </w:tabs>
    </w:pPr>
    <w:r>
      <w:rPr>
        <w:rFonts w:ascii="Calibri" w:cs="Calibri" w:eastAsia="Calibri" w:hAnsi="Calibri"/>
        <w:color w:val="2B2B2B"/>
        <w:sz w:val="16"/>
        <w:szCs w:val="16"/>
      </w:rPr>
      <w:t xml:space="preserve">Adriana Visser — senior coach hoogsensitieve vrouwen	</w:t>
    </w:r>
    <w:r>
      <w:rPr>
        <w:rFonts w:ascii="Calibri" w:cs="Calibri" w:eastAsia="Calibri" w:hAnsi="Calibri"/>
        <w:color w:val="2B2B2B"/>
        <w:sz w:val="16"/>
        <w:szCs w:val="16"/>
      </w:rPr>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350"/>
      </w:tabs>
    </w:pPr>
    <w:r>
      <w:rPr>
        <w:rFonts w:ascii="Calibri" w:cs="Calibri" w:eastAsia="Calibri" w:hAnsi="Calibri"/>
        <w:color w:val="2B2B2B"/>
        <w:sz w:val="16"/>
        <w:szCs w:val="16"/>
      </w:rPr>
      <w:t xml:space="preserve">Adriana Visser — senior coach hoogsensitieve vrouwen	</w:t>
    </w:r>
    <w:r>
      <w:rPr>
        <w:rFonts w:ascii="Calibri" w:cs="Calibri" w:eastAsia="Calibri" w:hAnsi="Calibri"/>
        <w:color w:val="2B2B2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2026-07-29T13:21:27.001Z</dcterms:created>
  <dcterms:modified xsi:type="dcterms:W3CDTF">2026-07-29T13:21:27.082Z</dcterms:modified>
</cp:coreProperties>
</file>

<file path=docProps/custom.xml><?xml version="1.0" encoding="utf-8"?>
<Properties xmlns="http://schemas.openxmlformats.org/officeDocument/2006/custom-properties" xmlns:vt="http://schemas.openxmlformats.org/officeDocument/2006/docPropsVTypes"/>
</file>